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i w:val="1"/>
          <w:iCs w:val="1"/>
          <w:color w:val="cc0000"/>
          <w:sz w:val="18"/>
          <w:szCs w:val="18"/>
        </w:rPr>
      </w:pPr>
      <w:r w:rsidDel="00000000" w:rsidR="00000000" w:rsidRPr="00000000">
        <w:rPr>
          <w:b w:val="1"/>
          <w:bCs w:val="1"/>
          <w:color w:val="cc0000"/>
          <w:sz w:val="18"/>
          <w:szCs w:val="18"/>
          <w:rtl w:val="0"/>
        </w:rPr>
        <w:t xml:space="preserve">NOTICE OF SCOPE: </w:t>
      </w:r>
      <w:r w:rsidDel="00000000" w:rsidR="00000000" w:rsidRPr="00000000">
        <w:rPr>
          <w:i w:val="1"/>
          <w:iCs w:val="1"/>
          <w:color w:val="cc0000"/>
          <w:sz w:val="18"/>
          <w:szCs w:val="18"/>
          <w:rtl w:val="0"/>
        </w:rPr>
        <w:t xml:space="preserve">mrBlockchainMan is a technical education and infrastructure provider. Our proprietary IP assets, frameworks, and the 'Mastery Path' are designed for governance facilitation and operational training. We do not provide investment, legal, or tax advice. mrBlockchainMan is not a Registered Investment Advisor (RIA). All on-chain activities should be executed in coordination with your firm's licensed professional counsel. 2026 mrBlockchainMan. All Rights Reserved.</w:t>
      </w:r>
    </w:p>
    <w:p w:rsidR="00000000" w:rsidDel="00000000" w:rsidP="00000000" w:rsidRDefault="00000000" w:rsidRPr="00000000" w14:paraId="00000002">
      <w:pPr>
        <w:rPr>
          <w:b w:val="1"/>
          <w:bCs w:val="1"/>
          <w:color w:val="cc0000"/>
          <w:sz w:val="18"/>
          <w:szCs w:val="18"/>
        </w:rPr>
      </w:pPr>
      <w:r w:rsidDel="00000000" w:rsidR="00000000" w:rsidRPr="00000000">
        <w:rPr>
          <w:rtl w:val="0"/>
        </w:rPr>
      </w:r>
    </w:p>
    <w:p w:rsidR="00000000" w:rsidDel="00000000" w:rsidP="00000000" w:rsidRDefault="00000000" w:rsidRPr="00000000" w14:paraId="00000003">
      <w:pPr>
        <w:rPr>
          <w:color w:val="cc0000"/>
          <w:sz w:val="18"/>
          <w:szCs w:val="18"/>
        </w:rPr>
      </w:pPr>
      <w:r w:rsidDel="00000000" w:rsidR="00000000" w:rsidRPr="00000000">
        <w:rPr>
          <w:b w:val="1"/>
          <w:bCs w:val="1"/>
          <w:color w:val="cc0000"/>
          <w:sz w:val="18"/>
          <w:szCs w:val="18"/>
          <w:rtl w:val="0"/>
        </w:rPr>
        <w:t xml:space="preserve">IMPORTANT DRAFTING NOTE:</w:t>
      </w:r>
      <w:r w:rsidDel="00000000" w:rsidR="00000000" w:rsidRPr="00000000">
        <w:rPr>
          <w:color w:val="cc0000"/>
          <w:sz w:val="18"/>
          <w:szCs w:val="18"/>
          <w:rtl w:val="0"/>
        </w:rPr>
        <w:t xml:space="preserve"> </w:t>
      </w:r>
      <w:r w:rsidDel="00000000" w:rsidR="00000000" w:rsidRPr="00000000">
        <w:rPr>
          <w:i w:val="1"/>
          <w:iCs w:val="1"/>
          <w:color w:val="cc0000"/>
          <w:sz w:val="18"/>
          <w:szCs w:val="18"/>
          <w:rtl w:val="0"/>
        </w:rPr>
        <w:t xml:space="preserve">This document is a Model Charter provided for educational purposes. Specific values—such as </w:t>
      </w:r>
      <w:r w:rsidDel="00000000" w:rsidR="00000000" w:rsidRPr="00000000">
        <w:rPr>
          <w:b w:val="1"/>
          <w:bCs w:val="1"/>
          <w:i w:val="1"/>
          <w:iCs w:val="1"/>
          <w:color w:val="cc0000"/>
          <w:sz w:val="18"/>
          <w:szCs w:val="18"/>
          <w:rtl w:val="0"/>
        </w:rPr>
        <w:t xml:space="preserve">[Asset Allow-Lists]</w:t>
      </w:r>
      <w:r w:rsidDel="00000000" w:rsidR="00000000" w:rsidRPr="00000000">
        <w:rPr>
          <w:i w:val="1"/>
          <w:iCs w:val="1"/>
          <w:color w:val="cc0000"/>
          <w:sz w:val="18"/>
          <w:szCs w:val="18"/>
          <w:rtl w:val="0"/>
        </w:rPr>
        <w:t xml:space="preserve">, </w:t>
      </w:r>
      <w:r w:rsidDel="00000000" w:rsidR="00000000" w:rsidRPr="00000000">
        <w:rPr>
          <w:b w:val="1"/>
          <w:bCs w:val="1"/>
          <w:i w:val="1"/>
          <w:iCs w:val="1"/>
          <w:color w:val="cc0000"/>
          <w:sz w:val="18"/>
          <w:szCs w:val="18"/>
          <w:rtl w:val="0"/>
        </w:rPr>
        <w:t xml:space="preserve">[Dollar Thresholds]</w:t>
      </w:r>
      <w:r w:rsidDel="00000000" w:rsidR="00000000" w:rsidRPr="00000000">
        <w:rPr>
          <w:i w:val="1"/>
          <w:iCs w:val="1"/>
          <w:color w:val="cc0000"/>
          <w:sz w:val="18"/>
          <w:szCs w:val="18"/>
          <w:rtl w:val="0"/>
        </w:rPr>
        <w:t xml:space="preserve">, and </w:t>
      </w:r>
      <w:r w:rsidDel="00000000" w:rsidR="00000000" w:rsidRPr="00000000">
        <w:rPr>
          <w:b w:val="1"/>
          <w:bCs w:val="1"/>
          <w:i w:val="1"/>
          <w:iCs w:val="1"/>
          <w:color w:val="cc0000"/>
          <w:sz w:val="18"/>
          <w:szCs w:val="18"/>
          <w:rtl w:val="0"/>
        </w:rPr>
        <w:t xml:space="preserve">[Quorum Counts]</w:t>
      </w:r>
      <w:r w:rsidDel="00000000" w:rsidR="00000000" w:rsidRPr="00000000">
        <w:rPr>
          <w:i w:val="1"/>
          <w:iCs w:val="1"/>
          <w:color w:val="cc0000"/>
          <w:sz w:val="18"/>
          <w:szCs w:val="18"/>
          <w:rtl w:val="0"/>
        </w:rPr>
        <w:t xml:space="preserve">—are populated with examples to illustrate a standard "Defense-First" posture. You must review and customize these bracketed variables to match your organization’s specific capital size and risk appetite. This document should be reviewed by your General Counsel before ratification.</w:t>
      </w:r>
      <w:r w:rsidDel="00000000" w:rsidR="00000000" w:rsidRPr="00000000">
        <w:rPr>
          <w:rtl w:val="0"/>
        </w:rPr>
      </w:r>
    </w:p>
    <w:p w:rsidR="00000000" w:rsidDel="00000000" w:rsidP="00000000" w:rsidRDefault="00000000" w:rsidRPr="00000000" w14:paraId="00000004">
      <w:pPr>
        <w:pStyle w:val="Title"/>
        <w:rPr/>
      </w:pPr>
      <w:bookmarkStart w:colFirst="0" w:colLast="0" w:name="_z6oe0xnn4yie" w:id="0"/>
      <w:bookmarkEnd w:id="0"/>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pStyle w:val="Title"/>
        <w:rPr>
          <w:rFonts w:ascii="Cinzel" w:cs="Cinzel" w:eastAsia="Cinzel" w:hAnsi="Cinzel"/>
          <w:sz w:val="32"/>
          <w:szCs w:val="32"/>
        </w:rPr>
      </w:pPr>
      <w:bookmarkStart w:colFirst="0" w:colLast="0" w:name="_2557usswnpph" w:id="1"/>
      <w:bookmarkEnd w:id="1"/>
      <w:r w:rsidDel="00000000" w:rsidR="00000000" w:rsidRPr="00000000">
        <w:rPr>
          <w:rFonts w:ascii="Cinzel" w:cs="Cinzel" w:eastAsia="Cinzel" w:hAnsi="Cinzel"/>
          <w:sz w:val="32"/>
          <w:szCs w:val="32"/>
          <w:rtl w:val="0"/>
        </w:rPr>
        <w:t xml:space="preserve">DIGITAL ASSET COUNCIL (DAC) CHARTER</w:t>
      </w:r>
      <w:r w:rsidDel="00000000" w:rsidR="00000000" w:rsidRPr="00000000">
        <w:rPr>
          <w:rFonts w:ascii="Cinzel" w:cs="Cinzel" w:eastAsia="Cinzel" w:hAnsi="Cinzel"/>
          <w:sz w:val="32"/>
          <w:szCs w:val="32"/>
          <w:rtl w:val="0"/>
        </w:rPr>
        <w:t xml:space="preserve"> </w:t>
      </w:r>
    </w:p>
    <w:p w:rsidR="00000000" w:rsidDel="00000000" w:rsidP="00000000" w:rsidRDefault="00000000" w:rsidRPr="00000000" w14:paraId="00000006">
      <w:pPr>
        <w:pStyle w:val="Title"/>
        <w:rPr>
          <w:rFonts w:ascii="Roboto Serif" w:cs="Roboto Serif" w:eastAsia="Roboto Serif" w:hAnsi="Roboto Serif"/>
          <w:sz w:val="28"/>
          <w:szCs w:val="28"/>
        </w:rPr>
      </w:pPr>
      <w:bookmarkStart w:colFirst="0" w:colLast="0" w:name="_lu0ns0gom9co" w:id="2"/>
      <w:bookmarkEnd w:id="2"/>
      <w:r w:rsidDel="00000000" w:rsidR="00000000" w:rsidRPr="00000000">
        <w:rPr>
          <w:rFonts w:ascii="Roboto Serif" w:cs="Roboto Serif" w:eastAsia="Roboto Serif" w:hAnsi="Roboto Serif"/>
          <w:sz w:val="28"/>
          <w:szCs w:val="28"/>
          <w:rtl w:val="0"/>
        </w:rPr>
        <w:t xml:space="preserve">Version:</w:t>
      </w:r>
      <w:r w:rsidDel="00000000" w:rsidR="00000000" w:rsidRPr="00000000">
        <w:rPr>
          <w:rFonts w:ascii="Roboto Serif" w:cs="Roboto Serif" w:eastAsia="Roboto Serif" w:hAnsi="Roboto Serif"/>
          <w:sz w:val="28"/>
          <w:szCs w:val="28"/>
          <w:rtl w:val="0"/>
        </w:rPr>
        <w:t xml:space="preserve"> 1.0</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color w:val="cc0000"/>
        </w:rPr>
      </w:pPr>
      <w:r w:rsidDel="00000000" w:rsidR="00000000" w:rsidRPr="00000000">
        <w:rPr>
          <w:b w:val="1"/>
          <w:bCs w:val="1"/>
          <w:rtl w:val="0"/>
        </w:rPr>
        <w:t xml:space="preserve">Status:</w:t>
      </w:r>
      <w:r w:rsidDel="00000000" w:rsidR="00000000" w:rsidRPr="00000000">
        <w:rPr>
          <w:rtl w:val="0"/>
        </w:rPr>
        <w:t xml:space="preserve"> Board Ratified </w:t>
      </w:r>
      <w:r w:rsidDel="00000000" w:rsidR="00000000" w:rsidRPr="00000000">
        <w:rPr>
          <w:b w:val="1"/>
          <w:bCs w:val="1"/>
          <w:rtl w:val="0"/>
        </w:rPr>
        <w:t xml:space="preserve">Effective Date:</w:t>
      </w:r>
      <w:r w:rsidDel="00000000" w:rsidR="00000000" w:rsidRPr="00000000">
        <w:rPr>
          <w:rtl w:val="0"/>
        </w:rPr>
        <w:t xml:space="preserve"> </w:t>
      </w:r>
      <w:r w:rsidDel="00000000" w:rsidR="00000000" w:rsidRPr="00000000">
        <w:rPr>
          <w:color w:val="cc0000"/>
          <w:rtl w:val="0"/>
        </w:rPr>
        <w:t xml:space="preserve">[MM/DD/YYYY]</w:t>
      </w: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pStyle w:val="Title"/>
        <w:rPr>
          <w:rFonts w:ascii="Roboto Serif" w:cs="Roboto Serif" w:eastAsia="Roboto Serif" w:hAnsi="Roboto Serif"/>
          <w:sz w:val="32"/>
          <w:szCs w:val="32"/>
        </w:rPr>
      </w:pPr>
      <w:bookmarkStart w:colFirst="0" w:colLast="0" w:name="_wnigfyl51oqx" w:id="3"/>
      <w:bookmarkEnd w:id="3"/>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B">
      <w:pPr>
        <w:pStyle w:val="Heading2"/>
        <w:rPr>
          <w:rFonts w:ascii="Roboto Serif" w:cs="Roboto Serif" w:eastAsia="Roboto Serif" w:hAnsi="Roboto Serif"/>
          <w:sz w:val="24"/>
          <w:szCs w:val="24"/>
        </w:rPr>
      </w:pPr>
      <w:bookmarkStart w:colFirst="0" w:colLast="0" w:name="_sd3f3gwpmqan" w:id="4"/>
      <w:bookmarkEnd w:id="4"/>
      <w:r w:rsidDel="00000000" w:rsidR="00000000" w:rsidRPr="00000000">
        <w:rPr>
          <w:rFonts w:ascii="Roboto Serif" w:cs="Roboto Serif" w:eastAsia="Roboto Serif" w:hAnsi="Roboto Serif"/>
          <w:sz w:val="24"/>
          <w:szCs w:val="24"/>
          <w:rtl w:val="0"/>
        </w:rPr>
        <w:t xml:space="preserve">I. PURPOSE &amp; MANDATE</w:t>
      </w:r>
    </w:p>
    <w:p w:rsidR="00000000" w:rsidDel="00000000" w:rsidP="00000000" w:rsidRDefault="00000000" w:rsidRPr="00000000" w14:paraId="0000000C">
      <w:pPr>
        <w:spacing w:after="240" w:before="240" w:lineRule="auto"/>
        <w:rPr/>
      </w:pPr>
      <w:r w:rsidDel="00000000" w:rsidR="00000000" w:rsidRPr="00000000">
        <w:rPr>
          <w:rtl w:val="0"/>
        </w:rPr>
        <w:t xml:space="preserve">The Board of Directors hereby establishes the </w:t>
      </w:r>
      <w:r w:rsidDel="00000000" w:rsidR="00000000" w:rsidRPr="00000000">
        <w:rPr>
          <w:b w:val="1"/>
          <w:bCs w:val="1"/>
          <w:rtl w:val="0"/>
        </w:rPr>
        <w:t xml:space="preserve">Digital Asset Council (DAC)</w:t>
      </w:r>
      <w:r w:rsidDel="00000000" w:rsidR="00000000" w:rsidRPr="00000000">
        <w:rPr>
          <w:rtl w:val="0"/>
        </w:rPr>
        <w:t xml:space="preserve">. The DAC is the sole governing body authorized to oversee the acquisition, custody, and management of digital assets on behalf of the Company.</w:t>
      </w:r>
    </w:p>
    <w:p w:rsidR="00000000" w:rsidDel="00000000" w:rsidP="00000000" w:rsidRDefault="00000000" w:rsidRPr="00000000" w14:paraId="0000000D">
      <w:pPr>
        <w:spacing w:after="240" w:before="240" w:lineRule="auto"/>
        <w:rPr/>
      </w:pPr>
      <w:r w:rsidDel="00000000" w:rsidR="00000000" w:rsidRPr="00000000">
        <w:rPr>
          <w:b w:val="1"/>
          <w:bCs w:val="1"/>
          <w:rtl w:val="0"/>
        </w:rPr>
        <w:t xml:space="preserve">The Mandate:</w:t>
      </w:r>
      <w:r w:rsidDel="00000000" w:rsidR="00000000" w:rsidRPr="00000000">
        <w:rPr>
          <w:rtl w:val="0"/>
        </w:rPr>
        <w:t xml:space="preserve"> To secure the enterprise by replacing ad-hoc decision-making with a formal governance framework. The DAC exists to balance </w:t>
      </w:r>
      <w:r w:rsidDel="00000000" w:rsidR="00000000" w:rsidRPr="00000000">
        <w:rPr>
          <w:b w:val="1"/>
          <w:bCs w:val="1"/>
          <w:rtl w:val="0"/>
        </w:rPr>
        <w:t xml:space="preserve">Capital Efficiency</w:t>
      </w:r>
      <w:r w:rsidDel="00000000" w:rsidR="00000000" w:rsidRPr="00000000">
        <w:rPr>
          <w:rtl w:val="0"/>
        </w:rPr>
        <w:t xml:space="preserve"> (Finance), </w:t>
      </w:r>
      <w:r w:rsidDel="00000000" w:rsidR="00000000" w:rsidRPr="00000000">
        <w:rPr>
          <w:b w:val="1"/>
          <w:bCs w:val="1"/>
          <w:rtl w:val="0"/>
        </w:rPr>
        <w:t xml:space="preserve">Information Security</w:t>
      </w:r>
      <w:r w:rsidDel="00000000" w:rsidR="00000000" w:rsidRPr="00000000">
        <w:rPr>
          <w:rtl w:val="0"/>
        </w:rPr>
        <w:t xml:space="preserve"> (Tech), and </w:t>
      </w:r>
      <w:r w:rsidDel="00000000" w:rsidR="00000000" w:rsidRPr="00000000">
        <w:rPr>
          <w:b w:val="1"/>
          <w:bCs w:val="1"/>
          <w:rtl w:val="0"/>
        </w:rPr>
        <w:t xml:space="preserve">Regulatory Compliance</w:t>
      </w:r>
      <w:r w:rsidDel="00000000" w:rsidR="00000000" w:rsidRPr="00000000">
        <w:rPr>
          <w:rtl w:val="0"/>
        </w:rPr>
        <w:t xml:space="preserve"> (Legal).</w:t>
      </w:r>
    </w:p>
    <w:p w:rsidR="00000000" w:rsidDel="00000000" w:rsidP="00000000" w:rsidRDefault="00000000" w:rsidRPr="00000000" w14:paraId="0000000E">
      <w:pPr>
        <w:spacing w:after="240" w:before="240" w:lineRule="auto"/>
        <w:rPr/>
      </w:pPr>
      <w:r w:rsidDel="00000000" w:rsidR="00000000" w:rsidRPr="00000000">
        <w:rPr>
          <w:rtl w:val="0"/>
        </w:rPr>
      </w:r>
    </w:p>
    <w:p w:rsidR="00000000" w:rsidDel="00000000" w:rsidP="00000000" w:rsidRDefault="00000000" w:rsidRPr="00000000" w14:paraId="0000000F">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0">
      <w:pPr>
        <w:pStyle w:val="Heading2"/>
        <w:rPr/>
      </w:pPr>
      <w:bookmarkStart w:colFirst="0" w:colLast="0" w:name="_ibl3zm1o9tst" w:id="5"/>
      <w:bookmarkEnd w:id="5"/>
      <w:r w:rsidDel="00000000" w:rsidR="00000000" w:rsidRPr="00000000">
        <w:rPr>
          <w:rtl w:val="0"/>
        </w:rPr>
        <w:t xml:space="preserve">II. COUNCIL MEMBERSHIP ("The Triad")</w:t>
      </w:r>
    </w:p>
    <w:p w:rsidR="00000000" w:rsidDel="00000000" w:rsidP="00000000" w:rsidRDefault="00000000" w:rsidRPr="00000000" w14:paraId="00000011">
      <w:pPr>
        <w:spacing w:after="240" w:before="240" w:lineRule="auto"/>
        <w:rPr/>
      </w:pPr>
      <w:r w:rsidDel="00000000" w:rsidR="00000000" w:rsidRPr="00000000">
        <w:rPr>
          <w:rtl w:val="0"/>
        </w:rPr>
        <w:t xml:space="preserve">The DAC requires a cross-functional quorum to operate. Membership consists of the following Voting Seats:</w:t>
      </w:r>
    </w:p>
    <w:p w:rsidR="00000000" w:rsidDel="00000000" w:rsidP="00000000" w:rsidRDefault="00000000" w:rsidRPr="00000000" w14:paraId="00000012">
      <w:pPr>
        <w:spacing w:after="240" w:before="240" w:lineRule="auto"/>
        <w:rPr/>
      </w:pPr>
      <w:r w:rsidDel="00000000" w:rsidR="00000000" w:rsidRPr="00000000">
        <w:rPr>
          <w:rtl w:val="0"/>
        </w:rPr>
      </w:r>
    </w:p>
    <w:p w:rsidR="00000000" w:rsidDel="00000000" w:rsidP="00000000" w:rsidRDefault="00000000" w:rsidRPr="00000000" w14:paraId="00000013">
      <w:pPr>
        <w:numPr>
          <w:ilvl w:val="0"/>
          <w:numId w:val="5"/>
        </w:numPr>
        <w:spacing w:after="0" w:afterAutospacing="0" w:before="240" w:lineRule="auto"/>
        <w:ind w:left="720" w:hanging="360"/>
      </w:pPr>
      <w:r w:rsidDel="00000000" w:rsidR="00000000" w:rsidRPr="00000000">
        <w:rPr>
          <w:b w:val="1"/>
          <w:bCs w:val="1"/>
          <w:rtl w:val="0"/>
        </w:rPr>
        <w:t xml:space="preserve">The Chair (Finance Seat):</w:t>
      </w:r>
    </w:p>
    <w:p w:rsidR="00000000" w:rsidDel="00000000" w:rsidP="00000000" w:rsidRDefault="00000000" w:rsidRPr="00000000" w14:paraId="00000014">
      <w:pPr>
        <w:numPr>
          <w:ilvl w:val="1"/>
          <w:numId w:val="5"/>
        </w:numPr>
        <w:spacing w:after="0" w:afterAutospacing="0" w:before="0" w:beforeAutospacing="0" w:lineRule="auto"/>
        <w:ind w:left="1440" w:hanging="360"/>
      </w:pPr>
      <w:r w:rsidDel="00000000" w:rsidR="00000000" w:rsidRPr="00000000">
        <w:rPr>
          <w:b w:val="1"/>
          <w:bCs w:val="1"/>
          <w:rtl w:val="0"/>
        </w:rPr>
        <w:t xml:space="preserve">Appointee:</w:t>
      </w:r>
      <w:r w:rsidDel="00000000" w:rsidR="00000000" w:rsidRPr="00000000">
        <w:rPr>
          <w:rtl w:val="0"/>
        </w:rPr>
        <w:t xml:space="preserve"> Chief Financial Officer (CFO) or Treasurer.</w:t>
      </w:r>
    </w:p>
    <w:p w:rsidR="00000000" w:rsidDel="00000000" w:rsidP="00000000" w:rsidRDefault="00000000" w:rsidRPr="00000000" w14:paraId="00000015">
      <w:pPr>
        <w:numPr>
          <w:ilvl w:val="1"/>
          <w:numId w:val="5"/>
        </w:numPr>
        <w:spacing w:after="240" w:before="0" w:beforeAutospacing="0" w:lineRule="auto"/>
        <w:ind w:left="1440" w:hanging="360"/>
      </w:pPr>
      <w:r w:rsidDel="00000000" w:rsidR="00000000" w:rsidRPr="00000000">
        <w:rPr>
          <w:b w:val="1"/>
          <w:bCs w:val="1"/>
          <w:rtl w:val="0"/>
        </w:rPr>
        <w:t xml:space="preserve">Authority:</w:t>
      </w:r>
      <w:r w:rsidDel="00000000" w:rsidR="00000000" w:rsidRPr="00000000">
        <w:rPr>
          <w:rtl w:val="0"/>
        </w:rPr>
        <w:t xml:space="preserve"> Approves capital allocation, yield strategies, and tax reporting.</w:t>
      </w:r>
    </w:p>
    <w:p w:rsidR="00000000" w:rsidDel="00000000" w:rsidP="00000000" w:rsidRDefault="00000000" w:rsidRPr="00000000" w14:paraId="00000016">
      <w:pPr>
        <w:spacing w:after="240" w:before="240" w:lineRule="auto"/>
        <w:rPr/>
      </w:pPr>
      <w:r w:rsidDel="00000000" w:rsidR="00000000" w:rsidRPr="00000000">
        <w:rPr>
          <w:rtl w:val="0"/>
        </w:rPr>
      </w:r>
    </w:p>
    <w:p w:rsidR="00000000" w:rsidDel="00000000" w:rsidP="00000000" w:rsidRDefault="00000000" w:rsidRPr="00000000" w14:paraId="00000017">
      <w:pPr>
        <w:numPr>
          <w:ilvl w:val="0"/>
          <w:numId w:val="5"/>
        </w:numPr>
        <w:spacing w:after="0" w:afterAutospacing="0" w:before="240" w:lineRule="auto"/>
        <w:ind w:left="720" w:hanging="360"/>
      </w:pPr>
      <w:r w:rsidDel="00000000" w:rsidR="00000000" w:rsidRPr="00000000">
        <w:rPr>
          <w:b w:val="1"/>
          <w:bCs w:val="1"/>
          <w:rtl w:val="0"/>
        </w:rPr>
        <w:t xml:space="preserve">The Shield (Security Seat):</w:t>
      </w:r>
    </w:p>
    <w:p w:rsidR="00000000" w:rsidDel="00000000" w:rsidP="00000000" w:rsidRDefault="00000000" w:rsidRPr="00000000" w14:paraId="00000018">
      <w:pPr>
        <w:numPr>
          <w:ilvl w:val="1"/>
          <w:numId w:val="5"/>
        </w:numPr>
        <w:spacing w:after="0" w:afterAutospacing="0" w:before="0" w:beforeAutospacing="0" w:lineRule="auto"/>
        <w:ind w:left="1440" w:hanging="360"/>
      </w:pPr>
      <w:r w:rsidDel="00000000" w:rsidR="00000000" w:rsidRPr="00000000">
        <w:rPr>
          <w:b w:val="1"/>
          <w:bCs w:val="1"/>
          <w:rtl w:val="0"/>
        </w:rPr>
        <w:t xml:space="preserve">Appointee:</w:t>
      </w:r>
      <w:r w:rsidDel="00000000" w:rsidR="00000000" w:rsidRPr="00000000">
        <w:rPr>
          <w:rtl w:val="0"/>
        </w:rPr>
        <w:t xml:space="preserve"> Chief Information Security Officer (CISO) or VP of Engineering.</w:t>
      </w:r>
    </w:p>
    <w:p w:rsidR="00000000" w:rsidDel="00000000" w:rsidP="00000000" w:rsidRDefault="00000000" w:rsidRPr="00000000" w14:paraId="00000019">
      <w:pPr>
        <w:numPr>
          <w:ilvl w:val="1"/>
          <w:numId w:val="5"/>
        </w:numPr>
        <w:spacing w:after="240" w:before="0" w:beforeAutospacing="0" w:lineRule="auto"/>
        <w:ind w:left="1440" w:hanging="360"/>
      </w:pPr>
      <w:r w:rsidDel="00000000" w:rsidR="00000000" w:rsidRPr="00000000">
        <w:rPr>
          <w:b w:val="1"/>
          <w:bCs w:val="1"/>
          <w:rtl w:val="0"/>
        </w:rPr>
        <w:t xml:space="preserve">Authority:</w:t>
      </w:r>
      <w:r w:rsidDel="00000000" w:rsidR="00000000" w:rsidRPr="00000000">
        <w:rPr>
          <w:rtl w:val="0"/>
        </w:rPr>
        <w:t xml:space="preserve"> Owns the Key Management Protocol. Approves wallet architecture and transaction signing paths. </w:t>
      </w:r>
      <w:r w:rsidDel="00000000" w:rsidR="00000000" w:rsidRPr="00000000">
        <w:rPr>
          <w:i w:val="1"/>
          <w:iCs w:val="1"/>
          <w:rtl w:val="0"/>
        </w:rPr>
        <w:t xml:space="preserve">Note: Security does not propose trades; they secure the transfer.</w:t>
      </w:r>
    </w:p>
    <w:p w:rsidR="00000000" w:rsidDel="00000000" w:rsidP="00000000" w:rsidRDefault="00000000" w:rsidRPr="00000000" w14:paraId="0000001A">
      <w:pPr>
        <w:spacing w:after="240" w:before="240" w:lineRule="auto"/>
        <w:rPr>
          <w:i w:val="1"/>
          <w:iCs w:val="1"/>
        </w:rPr>
      </w:pPr>
      <w:r w:rsidDel="00000000" w:rsidR="00000000" w:rsidRPr="00000000">
        <w:rPr>
          <w:rtl w:val="0"/>
        </w:rPr>
      </w:r>
    </w:p>
    <w:p w:rsidR="00000000" w:rsidDel="00000000" w:rsidP="00000000" w:rsidRDefault="00000000" w:rsidRPr="00000000" w14:paraId="0000001B">
      <w:pPr>
        <w:numPr>
          <w:ilvl w:val="0"/>
          <w:numId w:val="5"/>
        </w:numPr>
        <w:spacing w:after="0" w:afterAutospacing="0" w:before="240" w:lineRule="auto"/>
        <w:ind w:left="720" w:hanging="360"/>
      </w:pPr>
      <w:r w:rsidDel="00000000" w:rsidR="00000000" w:rsidRPr="00000000">
        <w:rPr>
          <w:b w:val="1"/>
          <w:bCs w:val="1"/>
          <w:rtl w:val="0"/>
        </w:rPr>
        <w:t xml:space="preserve">The Guardrail (Legal Seat):</w:t>
      </w:r>
    </w:p>
    <w:p w:rsidR="00000000" w:rsidDel="00000000" w:rsidP="00000000" w:rsidRDefault="00000000" w:rsidRPr="00000000" w14:paraId="0000001C">
      <w:pPr>
        <w:numPr>
          <w:ilvl w:val="1"/>
          <w:numId w:val="5"/>
        </w:numPr>
        <w:spacing w:after="0" w:afterAutospacing="0" w:before="0" w:beforeAutospacing="0" w:lineRule="auto"/>
        <w:ind w:left="1440" w:hanging="360"/>
      </w:pPr>
      <w:r w:rsidDel="00000000" w:rsidR="00000000" w:rsidRPr="00000000">
        <w:rPr>
          <w:b w:val="1"/>
          <w:bCs w:val="1"/>
          <w:rtl w:val="0"/>
        </w:rPr>
        <w:t xml:space="preserve">Appointee:</w:t>
      </w:r>
      <w:r w:rsidDel="00000000" w:rsidR="00000000" w:rsidRPr="00000000">
        <w:rPr>
          <w:rtl w:val="0"/>
        </w:rPr>
        <w:t xml:space="preserve"> General Counsel (GC) or Chief Compliance Officer (CCO).</w:t>
      </w:r>
    </w:p>
    <w:p w:rsidR="00000000" w:rsidDel="00000000" w:rsidP="00000000" w:rsidRDefault="00000000" w:rsidRPr="00000000" w14:paraId="0000001D">
      <w:pPr>
        <w:numPr>
          <w:ilvl w:val="1"/>
          <w:numId w:val="5"/>
        </w:numPr>
        <w:spacing w:after="240" w:before="0" w:beforeAutospacing="0" w:lineRule="auto"/>
        <w:ind w:left="1440" w:hanging="360"/>
      </w:pPr>
      <w:r w:rsidDel="00000000" w:rsidR="00000000" w:rsidRPr="00000000">
        <w:rPr>
          <w:b w:val="1"/>
          <w:bCs w:val="1"/>
          <w:rtl w:val="0"/>
        </w:rPr>
        <w:t xml:space="preserve">Authority:</w:t>
      </w:r>
      <w:r w:rsidDel="00000000" w:rsidR="00000000" w:rsidRPr="00000000">
        <w:rPr>
          <w:rtl w:val="0"/>
        </w:rPr>
        <w:t xml:space="preserve"> Vets counterparties (KYC/AML) and ensures regulatory adherence. Has veto power over any asset or venue deemed non-compliant.</w:t>
      </w:r>
    </w:p>
    <w:p w:rsidR="00000000" w:rsidDel="00000000" w:rsidP="00000000" w:rsidRDefault="00000000" w:rsidRPr="00000000" w14:paraId="0000001E">
      <w:pPr>
        <w:spacing w:after="240" w:before="240" w:lineRule="auto"/>
        <w:ind w:left="0" w:firstLine="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F">
      <w:pPr>
        <w:pStyle w:val="Heading2"/>
        <w:spacing w:after="240" w:before="240" w:lineRule="auto"/>
        <w:rPr/>
      </w:pPr>
      <w:bookmarkStart w:colFirst="0" w:colLast="0" w:name="_7xd9y1pit8s0" w:id="6"/>
      <w:bookmarkEnd w:id="6"/>
      <w:r w:rsidDel="00000000" w:rsidR="00000000" w:rsidRPr="00000000">
        <w:rPr>
          <w:rtl w:val="0"/>
        </w:rPr>
        <w:t xml:space="preserve">III. SCOPE OF AUTHORITY</w:t>
      </w:r>
    </w:p>
    <w:p w:rsidR="00000000" w:rsidDel="00000000" w:rsidP="00000000" w:rsidRDefault="00000000" w:rsidRPr="00000000" w14:paraId="00000020">
      <w:pPr>
        <w:pStyle w:val="Heading4"/>
        <w:keepNext w:val="0"/>
        <w:keepLines w:val="0"/>
        <w:spacing w:after="40" w:before="240" w:lineRule="auto"/>
        <w:rPr>
          <w:b w:val="1"/>
          <w:bCs w:val="1"/>
          <w:color w:val="000000"/>
          <w:sz w:val="22"/>
          <w:szCs w:val="22"/>
        </w:rPr>
      </w:pPr>
      <w:bookmarkStart w:colFirst="0" w:colLast="0" w:name="_aic4r136gzt1" w:id="7"/>
      <w:bookmarkEnd w:id="7"/>
      <w:r w:rsidDel="00000000" w:rsidR="00000000" w:rsidRPr="00000000">
        <w:rPr>
          <w:b w:val="1"/>
          <w:bCs w:val="1"/>
          <w:color w:val="000000"/>
          <w:sz w:val="22"/>
          <w:szCs w:val="22"/>
          <w:rtl w:val="0"/>
        </w:rPr>
        <w:t xml:space="preserve">A. Asset Allow-List</w:t>
      </w:r>
    </w:p>
    <w:p w:rsidR="00000000" w:rsidDel="00000000" w:rsidP="00000000" w:rsidRDefault="00000000" w:rsidRPr="00000000" w14:paraId="00000021">
      <w:pPr>
        <w:spacing w:after="240" w:before="240" w:lineRule="auto"/>
        <w:rPr/>
      </w:pPr>
      <w:r w:rsidDel="00000000" w:rsidR="00000000" w:rsidRPr="00000000">
        <w:rPr>
          <w:rtl w:val="0"/>
        </w:rPr>
        <w:t xml:space="preserve">The DAC is authorized to hold only assets explicitly listed below. Any asset not listed is implicitly </w:t>
      </w:r>
      <w:r w:rsidDel="00000000" w:rsidR="00000000" w:rsidRPr="00000000">
        <w:rPr>
          <w:b w:val="1"/>
          <w:bCs w:val="1"/>
          <w:rtl w:val="0"/>
        </w:rPr>
        <w:t xml:space="preserve">denied</w:t>
      </w:r>
      <w:r w:rsidDel="00000000" w:rsidR="00000000" w:rsidRPr="00000000">
        <w:rPr>
          <w:rtl w:val="0"/>
        </w:rPr>
        <w:t xml:space="preserve">.</w:t>
      </w:r>
    </w:p>
    <w:p w:rsidR="00000000" w:rsidDel="00000000" w:rsidP="00000000" w:rsidRDefault="00000000" w:rsidRPr="00000000" w14:paraId="00000022">
      <w:pPr>
        <w:numPr>
          <w:ilvl w:val="0"/>
          <w:numId w:val="1"/>
        </w:numPr>
        <w:spacing w:after="0" w:afterAutospacing="0" w:before="240" w:lineRule="auto"/>
        <w:ind w:left="720" w:hanging="360"/>
      </w:pPr>
      <w:r w:rsidDel="00000000" w:rsidR="00000000" w:rsidRPr="00000000">
        <w:rPr>
          <w:b w:val="1"/>
          <w:bCs w:val="1"/>
          <w:rtl w:val="0"/>
        </w:rPr>
        <w:t xml:space="preserve">Tier 1 (Treasury Reserve):</w:t>
      </w:r>
      <w:r w:rsidDel="00000000" w:rsidR="00000000" w:rsidRPr="00000000">
        <w:rPr>
          <w:rtl w:val="0"/>
        </w:rPr>
        <w:t xml:space="preserve"> </w:t>
      </w:r>
      <w:r w:rsidDel="00000000" w:rsidR="00000000" w:rsidRPr="00000000">
        <w:rPr>
          <w:color w:val="cc0000"/>
          <w:rtl w:val="0"/>
        </w:rPr>
        <w:t xml:space="preserve">[Bitcoin (BTC)]</w:t>
      </w:r>
      <w:r w:rsidDel="00000000" w:rsidR="00000000" w:rsidRPr="00000000">
        <w:rPr>
          <w:rtl w:val="0"/>
        </w:rPr>
        <w:t xml:space="preserve">.</w:t>
      </w:r>
    </w:p>
    <w:p w:rsidR="00000000" w:rsidDel="00000000" w:rsidP="00000000" w:rsidRDefault="00000000" w:rsidRPr="00000000" w14:paraId="00000023">
      <w:pPr>
        <w:numPr>
          <w:ilvl w:val="0"/>
          <w:numId w:val="1"/>
        </w:numPr>
        <w:spacing w:after="0" w:afterAutospacing="0" w:before="0" w:beforeAutospacing="0" w:lineRule="auto"/>
        <w:ind w:left="720" w:hanging="360"/>
      </w:pPr>
      <w:r w:rsidDel="00000000" w:rsidR="00000000" w:rsidRPr="00000000">
        <w:rPr>
          <w:b w:val="1"/>
          <w:bCs w:val="1"/>
          <w:rtl w:val="0"/>
        </w:rPr>
        <w:t xml:space="preserve">Tier 2 (Working Capital/Utility):</w:t>
      </w:r>
      <w:r w:rsidDel="00000000" w:rsidR="00000000" w:rsidRPr="00000000">
        <w:rPr>
          <w:rtl w:val="0"/>
        </w:rPr>
        <w:t xml:space="preserve"> </w:t>
      </w:r>
      <w:r w:rsidDel="00000000" w:rsidR="00000000" w:rsidRPr="00000000">
        <w:rPr>
          <w:color w:val="cc0000"/>
          <w:rtl w:val="0"/>
        </w:rPr>
        <w:t xml:space="preserve">[Ethereum (ETH)]</w:t>
      </w:r>
      <w:r w:rsidDel="00000000" w:rsidR="00000000" w:rsidRPr="00000000">
        <w:rPr>
          <w:rtl w:val="0"/>
        </w:rPr>
        <w:t xml:space="preserve">, </w:t>
      </w:r>
      <w:r w:rsidDel="00000000" w:rsidR="00000000" w:rsidRPr="00000000">
        <w:rPr>
          <w:color w:val="cc0000"/>
          <w:rtl w:val="0"/>
        </w:rPr>
        <w:t xml:space="preserve">[USDx (Stablecoins)]</w:t>
      </w:r>
      <w:r w:rsidDel="00000000" w:rsidR="00000000" w:rsidRPr="00000000">
        <w:rPr>
          <w:rtl w:val="0"/>
        </w:rPr>
        <w:t xml:space="preserve">.</w:t>
      </w:r>
    </w:p>
    <w:p w:rsidR="00000000" w:rsidDel="00000000" w:rsidP="00000000" w:rsidRDefault="00000000" w:rsidRPr="00000000" w14:paraId="00000024">
      <w:pPr>
        <w:numPr>
          <w:ilvl w:val="0"/>
          <w:numId w:val="1"/>
        </w:numPr>
        <w:spacing w:after="240" w:before="0" w:beforeAutospacing="0" w:lineRule="auto"/>
        <w:ind w:left="720" w:hanging="360"/>
      </w:pPr>
      <w:r w:rsidDel="00000000" w:rsidR="00000000" w:rsidRPr="00000000">
        <w:rPr>
          <w:b w:val="1"/>
          <w:bCs w:val="1"/>
          <w:rtl w:val="0"/>
        </w:rPr>
        <w:t xml:space="preserve">Prohibited Assets:</w:t>
      </w:r>
      <w:r w:rsidDel="00000000" w:rsidR="00000000" w:rsidRPr="00000000">
        <w:rPr>
          <w:rtl w:val="0"/>
        </w:rPr>
        <w:t xml:space="preserve"> Privacy coins, unverified smart contracts, or assets designated as unregistered securities by legal counsel.</w:t>
      </w:r>
    </w:p>
    <w:p w:rsidR="00000000" w:rsidDel="00000000" w:rsidP="00000000" w:rsidRDefault="00000000" w:rsidRPr="00000000" w14:paraId="00000025">
      <w:pPr>
        <w:pStyle w:val="Heading4"/>
        <w:keepNext w:val="0"/>
        <w:keepLines w:val="0"/>
        <w:spacing w:after="40" w:before="240" w:lineRule="auto"/>
        <w:rPr>
          <w:b w:val="1"/>
          <w:bCs w:val="1"/>
          <w:color w:val="000000"/>
          <w:sz w:val="22"/>
          <w:szCs w:val="22"/>
        </w:rPr>
      </w:pPr>
      <w:bookmarkStart w:colFirst="0" w:colLast="0" w:name="_smau3tdrbkcn" w:id="8"/>
      <w:bookmarkEnd w:id="8"/>
      <w:r w:rsidDel="00000000" w:rsidR="00000000" w:rsidRPr="00000000">
        <w:rPr>
          <w:b w:val="1"/>
          <w:bCs w:val="1"/>
          <w:color w:val="000000"/>
          <w:sz w:val="22"/>
          <w:szCs w:val="22"/>
          <w:rtl w:val="0"/>
        </w:rPr>
        <w:t xml:space="preserve">B. Authorized Activities</w:t>
      </w:r>
    </w:p>
    <w:p w:rsidR="00000000" w:rsidDel="00000000" w:rsidP="00000000" w:rsidRDefault="00000000" w:rsidRPr="00000000" w14:paraId="00000026">
      <w:pPr>
        <w:numPr>
          <w:ilvl w:val="0"/>
          <w:numId w:val="4"/>
        </w:numPr>
        <w:spacing w:after="0" w:afterAutospacing="0" w:before="240" w:lineRule="auto"/>
        <w:ind w:left="720" w:hanging="360"/>
      </w:pPr>
      <w:r w:rsidDel="00000000" w:rsidR="00000000" w:rsidRPr="00000000">
        <w:rPr>
          <w:b w:val="1"/>
          <w:bCs w:val="1"/>
          <w:sz w:val="22"/>
          <w:szCs w:val="22"/>
          <w:rtl w:val="0"/>
        </w:rPr>
        <w:t xml:space="preserve">Spot Holding:</w:t>
      </w:r>
      <w:r w:rsidDel="00000000" w:rsidR="00000000" w:rsidRPr="00000000">
        <w:rPr>
          <w:rtl w:val="0"/>
        </w:rPr>
        <w:t xml:space="preserve"> Passive custody in Cold Storage.</w:t>
      </w:r>
    </w:p>
    <w:p w:rsidR="00000000" w:rsidDel="00000000" w:rsidP="00000000" w:rsidRDefault="00000000" w:rsidRPr="00000000" w14:paraId="00000027">
      <w:pPr>
        <w:numPr>
          <w:ilvl w:val="0"/>
          <w:numId w:val="4"/>
        </w:numPr>
        <w:spacing w:after="0" w:afterAutospacing="0" w:before="0" w:beforeAutospacing="0" w:lineRule="auto"/>
        <w:ind w:left="720" w:hanging="360"/>
      </w:pPr>
      <w:r w:rsidDel="00000000" w:rsidR="00000000" w:rsidRPr="00000000">
        <w:rPr>
          <w:b w:val="1"/>
          <w:bCs w:val="1"/>
          <w:rtl w:val="0"/>
        </w:rPr>
        <w:t xml:space="preserve">Commercial Settlement:</w:t>
      </w:r>
      <w:r w:rsidDel="00000000" w:rsidR="00000000" w:rsidRPr="00000000">
        <w:rPr>
          <w:rtl w:val="0"/>
        </w:rPr>
        <w:t xml:space="preserve"> Payments to vendors via Stablecoins.</w:t>
      </w:r>
    </w:p>
    <w:p w:rsidR="00000000" w:rsidDel="00000000" w:rsidP="00000000" w:rsidRDefault="00000000" w:rsidRPr="00000000" w14:paraId="00000028">
      <w:pPr>
        <w:numPr>
          <w:ilvl w:val="0"/>
          <w:numId w:val="4"/>
        </w:numPr>
        <w:spacing w:after="240" w:before="0" w:beforeAutospacing="0" w:lineRule="auto"/>
        <w:ind w:left="720" w:hanging="360"/>
      </w:pPr>
      <w:r w:rsidDel="00000000" w:rsidR="00000000" w:rsidRPr="00000000">
        <w:rPr>
          <w:b w:val="1"/>
          <w:bCs w:val="1"/>
          <w:rtl w:val="0"/>
        </w:rPr>
        <w:t xml:space="preserve">Staking (Yield):</w:t>
      </w:r>
      <w:r w:rsidDel="00000000" w:rsidR="00000000" w:rsidRPr="00000000">
        <w:rPr>
          <w:rtl w:val="0"/>
        </w:rPr>
        <w:t xml:space="preserve"> Only permitting staking of </w:t>
      </w:r>
      <w:r w:rsidDel="00000000" w:rsidR="00000000" w:rsidRPr="00000000">
        <w:rPr>
          <w:color w:val="cc0000"/>
          <w:rtl w:val="0"/>
        </w:rPr>
        <w:t xml:space="preserve">[ETH]</w:t>
      </w:r>
      <w:r w:rsidDel="00000000" w:rsidR="00000000" w:rsidRPr="00000000">
        <w:rPr>
          <w:rtl w:val="0"/>
        </w:rPr>
        <w:t xml:space="preserve"> if validated by a non-custodial provider approved by Security.</w:t>
      </w:r>
    </w:p>
    <w:p w:rsidR="00000000" w:rsidDel="00000000" w:rsidP="00000000" w:rsidRDefault="00000000" w:rsidRPr="00000000" w14:paraId="00000029">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A">
      <w:pPr>
        <w:pStyle w:val="Heading2"/>
        <w:spacing w:after="240" w:before="240" w:lineRule="auto"/>
        <w:rPr/>
      </w:pPr>
      <w:bookmarkStart w:colFirst="0" w:colLast="0" w:name="_dwx5ujujq8yq" w:id="9"/>
      <w:bookmarkEnd w:id="9"/>
      <w:r w:rsidDel="00000000" w:rsidR="00000000" w:rsidRPr="00000000">
        <w:rPr>
          <w:rtl w:val="0"/>
        </w:rPr>
        <w:t xml:space="preserve">IV. GOVERNANCE &amp; QUORUM</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pStyle w:val="Heading4"/>
        <w:keepNext w:val="0"/>
        <w:keepLines w:val="0"/>
        <w:spacing w:after="40" w:before="240" w:lineRule="auto"/>
        <w:rPr>
          <w:b w:val="1"/>
          <w:bCs w:val="1"/>
          <w:color w:val="000000"/>
          <w:sz w:val="22"/>
          <w:szCs w:val="22"/>
        </w:rPr>
      </w:pPr>
      <w:bookmarkStart w:colFirst="0" w:colLast="0" w:name="_r8jt61uka2kz" w:id="10"/>
      <w:bookmarkEnd w:id="10"/>
      <w:r w:rsidDel="00000000" w:rsidR="00000000" w:rsidRPr="00000000">
        <w:rPr>
          <w:b w:val="1"/>
          <w:bCs w:val="1"/>
          <w:color w:val="000000"/>
          <w:sz w:val="22"/>
          <w:szCs w:val="22"/>
          <w:rtl w:val="0"/>
        </w:rPr>
        <w:t xml:space="preserve">A. Voting Requirements</w:t>
      </w:r>
    </w:p>
    <w:p w:rsidR="00000000" w:rsidDel="00000000" w:rsidP="00000000" w:rsidRDefault="00000000" w:rsidRPr="00000000" w14:paraId="0000002D">
      <w:pPr>
        <w:numPr>
          <w:ilvl w:val="0"/>
          <w:numId w:val="6"/>
        </w:numPr>
        <w:spacing w:after="0" w:afterAutospacing="0" w:before="240" w:lineRule="auto"/>
        <w:ind w:left="720" w:hanging="360"/>
      </w:pPr>
      <w:r w:rsidDel="00000000" w:rsidR="00000000" w:rsidRPr="00000000">
        <w:rPr>
          <w:b w:val="1"/>
          <w:bCs w:val="1"/>
          <w:sz w:val="22"/>
          <w:szCs w:val="22"/>
          <w:rtl w:val="0"/>
        </w:rPr>
        <w:t xml:space="preserve">Strategic Decisions (e.g., New Asset Class):</w:t>
      </w:r>
      <w:r w:rsidDel="00000000" w:rsidR="00000000" w:rsidRPr="00000000">
        <w:rPr>
          <w:rtl w:val="0"/>
        </w:rPr>
        <w:t xml:space="preserve"> Requires </w:t>
      </w:r>
      <w:r w:rsidDel="00000000" w:rsidR="00000000" w:rsidRPr="00000000">
        <w:rPr>
          <w:b w:val="1"/>
          <w:bCs w:val="1"/>
          <w:rtl w:val="0"/>
        </w:rPr>
        <w:t xml:space="preserve">Unanimous Consent (3/3)</w:t>
      </w:r>
      <w:r w:rsidDel="00000000" w:rsidR="00000000" w:rsidRPr="00000000">
        <w:rPr>
          <w:rtl w:val="0"/>
        </w:rPr>
        <w:t xml:space="preserve"> of the Triad.</w:t>
      </w:r>
    </w:p>
    <w:p w:rsidR="00000000" w:rsidDel="00000000" w:rsidP="00000000" w:rsidRDefault="00000000" w:rsidRPr="00000000" w14:paraId="0000002E">
      <w:pPr>
        <w:numPr>
          <w:ilvl w:val="0"/>
          <w:numId w:val="6"/>
        </w:numPr>
        <w:spacing w:after="240" w:before="0" w:beforeAutospacing="0" w:lineRule="auto"/>
        <w:ind w:left="720" w:hanging="360"/>
      </w:pPr>
      <w:r w:rsidDel="00000000" w:rsidR="00000000" w:rsidRPr="00000000">
        <w:rPr>
          <w:b w:val="1"/>
          <w:bCs w:val="1"/>
          <w:rtl w:val="0"/>
        </w:rPr>
        <w:t xml:space="preserve">Operational Decisions (e.g., Rebalancing):</w:t>
      </w:r>
      <w:r w:rsidDel="00000000" w:rsidR="00000000" w:rsidRPr="00000000">
        <w:rPr>
          <w:rtl w:val="0"/>
        </w:rPr>
        <w:t xml:space="preserve"> Requires </w:t>
      </w:r>
      <w:r w:rsidDel="00000000" w:rsidR="00000000" w:rsidRPr="00000000">
        <w:rPr>
          <w:b w:val="1"/>
          <w:bCs w:val="1"/>
          <w:rtl w:val="0"/>
        </w:rPr>
        <w:t xml:space="preserve">Simple Majority (2/3)</w:t>
      </w:r>
      <w:r w:rsidDel="00000000" w:rsidR="00000000" w:rsidRPr="00000000">
        <w:rPr>
          <w:rtl w:val="0"/>
        </w:rPr>
        <w:t xml:space="preserve">, provided the Chair (Finance) is in the majority.</w:t>
      </w:r>
    </w:p>
    <w:p w:rsidR="00000000" w:rsidDel="00000000" w:rsidP="00000000" w:rsidRDefault="00000000" w:rsidRPr="00000000" w14:paraId="0000002F">
      <w:pPr>
        <w:pStyle w:val="Heading4"/>
        <w:keepNext w:val="0"/>
        <w:keepLines w:val="0"/>
        <w:spacing w:after="40" w:before="240" w:lineRule="auto"/>
        <w:rPr>
          <w:b w:val="1"/>
          <w:bCs w:val="1"/>
          <w:color w:val="000000"/>
          <w:sz w:val="22"/>
          <w:szCs w:val="22"/>
        </w:rPr>
      </w:pPr>
      <w:bookmarkStart w:colFirst="0" w:colLast="0" w:name="_efapg3nslv7" w:id="11"/>
      <w:bookmarkEnd w:id="11"/>
      <w:r w:rsidDel="00000000" w:rsidR="00000000" w:rsidRPr="00000000">
        <w:rPr>
          <w:b w:val="1"/>
          <w:bCs w:val="1"/>
          <w:color w:val="000000"/>
          <w:sz w:val="22"/>
          <w:szCs w:val="22"/>
          <w:rtl w:val="0"/>
        </w:rPr>
        <w:t xml:space="preserve">B. Transaction Signing (Key Management)</w:t>
      </w:r>
    </w:p>
    <w:p w:rsidR="00000000" w:rsidDel="00000000" w:rsidP="00000000" w:rsidRDefault="00000000" w:rsidRPr="00000000" w14:paraId="00000030">
      <w:pPr>
        <w:numPr>
          <w:ilvl w:val="0"/>
          <w:numId w:val="2"/>
        </w:numPr>
        <w:spacing w:after="0" w:afterAutospacing="0" w:before="240" w:lineRule="auto"/>
        <w:ind w:left="720" w:hanging="360"/>
      </w:pPr>
      <w:r w:rsidDel="00000000" w:rsidR="00000000" w:rsidRPr="00000000">
        <w:rPr>
          <w:b w:val="1"/>
          <w:bCs w:val="1"/>
          <w:sz w:val="22"/>
          <w:szCs w:val="22"/>
          <w:rtl w:val="0"/>
        </w:rPr>
        <w:t xml:space="preserve">The "2-of-3" Rule:</w:t>
      </w:r>
      <w:r w:rsidDel="00000000" w:rsidR="00000000" w:rsidRPr="00000000">
        <w:rPr>
          <w:rtl w:val="0"/>
        </w:rPr>
        <w:t xml:space="preserve"> No single individual may ever possess the ability to unilaterally move funds.</w:t>
      </w:r>
    </w:p>
    <w:p w:rsidR="00000000" w:rsidDel="00000000" w:rsidP="00000000" w:rsidRDefault="00000000" w:rsidRPr="00000000" w14:paraId="00000031">
      <w:pPr>
        <w:numPr>
          <w:ilvl w:val="0"/>
          <w:numId w:val="2"/>
        </w:numPr>
        <w:spacing w:after="240" w:before="0" w:beforeAutospacing="0" w:lineRule="auto"/>
        <w:ind w:left="720" w:hanging="360"/>
      </w:pPr>
      <w:r w:rsidDel="00000000" w:rsidR="00000000" w:rsidRPr="00000000">
        <w:rPr>
          <w:b w:val="1"/>
          <w:bCs w:val="1"/>
          <w:rtl w:val="0"/>
        </w:rPr>
        <w:t xml:space="preserve">Signature Quorum:</w:t>
      </w:r>
      <w:r w:rsidDel="00000000" w:rsidR="00000000" w:rsidRPr="00000000">
        <w:rPr>
          <w:rtl w:val="0"/>
        </w:rPr>
        <w:t xml:space="preserve"> All outgoing transactions </w:t>
      </w:r>
      <w:r w:rsidDel="00000000" w:rsidR="00000000" w:rsidRPr="00000000">
        <w:rPr>
          <w:color w:val="cc0000"/>
          <w:rtl w:val="0"/>
        </w:rPr>
        <w:t xml:space="preserve">[&gt;$10,000]</w:t>
      </w:r>
      <w:r w:rsidDel="00000000" w:rsidR="00000000" w:rsidRPr="00000000">
        <w:rPr>
          <w:rtl w:val="0"/>
        </w:rPr>
        <w:t xml:space="preserve"> USD value require digital signatures from at least </w:t>
      </w:r>
      <w:r w:rsidDel="00000000" w:rsidR="00000000" w:rsidRPr="00000000">
        <w:rPr>
          <w:b w:val="1"/>
          <w:bCs w:val="1"/>
          <w:color w:val="cc0000"/>
          <w:rtl w:val="0"/>
        </w:rPr>
        <w:t xml:space="preserve">[two]</w:t>
      </w:r>
      <w:r w:rsidDel="00000000" w:rsidR="00000000" w:rsidRPr="00000000">
        <w:rPr>
          <w:rtl w:val="0"/>
        </w:rPr>
        <w:t xml:space="preserve"> Authorized Signers from distinct departments (e.g., 1 Finance + 1 Security).</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4">
      <w:pPr>
        <w:pStyle w:val="Heading2"/>
        <w:rPr/>
      </w:pPr>
      <w:bookmarkStart w:colFirst="0" w:colLast="0" w:name="_d8u9wtrvlzrw" w:id="12"/>
      <w:bookmarkEnd w:id="12"/>
      <w:r w:rsidDel="00000000" w:rsidR="00000000" w:rsidRPr="00000000">
        <w:rPr>
          <w:rtl w:val="0"/>
        </w:rPr>
        <w:t xml:space="preserve">V. EMERGENCY POWERS</w:t>
      </w:r>
    </w:p>
    <w:p w:rsidR="00000000" w:rsidDel="00000000" w:rsidP="00000000" w:rsidRDefault="00000000" w:rsidRPr="00000000" w14:paraId="00000035">
      <w:pPr>
        <w:spacing w:after="240" w:before="240" w:lineRule="auto"/>
        <w:rPr/>
      </w:pPr>
      <w:r w:rsidDel="00000000" w:rsidR="00000000" w:rsidRPr="00000000">
        <w:rPr>
          <w:rtl w:val="0"/>
        </w:rPr>
        <w:t xml:space="preserve">In the event of a suspected breach, loss of keys, or regulatory enforcement action:</w:t>
      </w:r>
    </w:p>
    <w:p w:rsidR="00000000" w:rsidDel="00000000" w:rsidP="00000000" w:rsidRDefault="00000000" w:rsidRPr="00000000" w14:paraId="00000036">
      <w:pPr>
        <w:numPr>
          <w:ilvl w:val="0"/>
          <w:numId w:val="3"/>
        </w:numPr>
        <w:spacing w:after="240" w:before="240" w:lineRule="auto"/>
        <w:ind w:left="720" w:hanging="360"/>
      </w:pPr>
      <w:r w:rsidDel="00000000" w:rsidR="00000000" w:rsidRPr="00000000">
        <w:rPr>
          <w:b w:val="1"/>
          <w:bCs w:val="1"/>
          <w:rtl w:val="0"/>
        </w:rPr>
        <w:t xml:space="preserve">The "Kill Switch":</w:t>
      </w:r>
      <w:r w:rsidDel="00000000" w:rsidR="00000000" w:rsidRPr="00000000">
        <w:rPr>
          <w:rtl w:val="0"/>
        </w:rPr>
        <w:t xml:space="preserve"> The CISO (The Shield) is authorized to unilaterally freeze all wallets or migrate funds to a pre-approved Deep Cold Storage Vault without prior vote.</w:t>
      </w:r>
    </w:p>
    <w:p w:rsidR="00000000" w:rsidDel="00000000" w:rsidP="00000000" w:rsidRDefault="00000000" w:rsidRPr="00000000" w14:paraId="00000037">
      <w:pPr>
        <w:spacing w:after="240" w:before="240" w:lineRule="auto"/>
        <w:rPr/>
      </w:pPr>
      <w:r w:rsidDel="00000000" w:rsidR="00000000" w:rsidRPr="00000000">
        <w:rPr>
          <w:rtl w:val="0"/>
        </w:rPr>
      </w:r>
    </w:p>
    <w:p w:rsidR="00000000" w:rsidDel="00000000" w:rsidP="00000000" w:rsidRDefault="00000000" w:rsidRPr="00000000" w14:paraId="00000038">
      <w:pPr>
        <w:numPr>
          <w:ilvl w:val="0"/>
          <w:numId w:val="3"/>
        </w:numPr>
        <w:spacing w:after="240" w:before="240" w:lineRule="auto"/>
        <w:ind w:left="720" w:hanging="360"/>
      </w:pPr>
      <w:r w:rsidDel="00000000" w:rsidR="00000000" w:rsidRPr="00000000">
        <w:rPr>
          <w:b w:val="1"/>
          <w:bCs w:val="1"/>
          <w:rtl w:val="0"/>
        </w:rPr>
        <w:t xml:space="preserve">Reporting:</w:t>
      </w:r>
      <w:r w:rsidDel="00000000" w:rsidR="00000000" w:rsidRPr="00000000">
        <w:rPr>
          <w:rtl w:val="0"/>
        </w:rPr>
        <w:t xml:space="preserve"> The Board of Directors must be notified </w:t>
      </w:r>
      <w:r w:rsidDel="00000000" w:rsidR="00000000" w:rsidRPr="00000000">
        <w:rPr>
          <w:color w:val="cc0000"/>
          <w:rtl w:val="0"/>
        </w:rPr>
        <w:t xml:space="preserve">[within 4 hours]</w:t>
      </w:r>
      <w:r w:rsidDel="00000000" w:rsidR="00000000" w:rsidRPr="00000000">
        <w:rPr>
          <w:rtl w:val="0"/>
        </w:rPr>
        <w:t xml:space="preserve"> of any emergency freeze.</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B">
      <w:pPr>
        <w:pStyle w:val="Heading2"/>
        <w:rPr/>
      </w:pPr>
      <w:bookmarkStart w:colFirst="0" w:colLast="0" w:name="_haepqy7gob60" w:id="13"/>
      <w:bookmarkEnd w:id="13"/>
      <w:r w:rsidDel="00000000" w:rsidR="00000000" w:rsidRPr="00000000">
        <w:rPr>
          <w:rtl w:val="0"/>
        </w:rPr>
        <w:t xml:space="preserve">VI. RATIFICATION</w:t>
      </w:r>
    </w:p>
    <w:p w:rsidR="00000000" w:rsidDel="00000000" w:rsidP="00000000" w:rsidRDefault="00000000" w:rsidRPr="00000000" w14:paraId="0000003C">
      <w:pPr>
        <w:spacing w:after="240" w:before="240" w:lineRule="auto"/>
        <w:rPr/>
      </w:pPr>
      <w:r w:rsidDel="00000000" w:rsidR="00000000" w:rsidRPr="00000000">
        <w:rPr>
          <w:rtl w:val="0"/>
        </w:rPr>
        <w:t xml:space="preserve">This Charter is hereby adopted by the Board of Directors and the appointed Council Members.</w:t>
      </w:r>
    </w:p>
    <w:p w:rsidR="00000000" w:rsidDel="00000000" w:rsidP="00000000" w:rsidRDefault="00000000" w:rsidRPr="00000000" w14:paraId="0000003D">
      <w:pPr>
        <w:spacing w:after="240" w:before="240" w:lineRule="auto"/>
        <w:rPr>
          <w:b w:val="1"/>
          <w:bCs w:val="1"/>
        </w:rPr>
      </w:pPr>
      <w:r w:rsidDel="00000000" w:rsidR="00000000" w:rsidRPr="00000000">
        <w:rPr>
          <w:rtl w:val="0"/>
        </w:rPr>
      </w:r>
    </w:p>
    <w:p w:rsidR="00000000" w:rsidDel="00000000" w:rsidP="00000000" w:rsidRDefault="00000000" w:rsidRPr="00000000" w14:paraId="0000003E">
      <w:pPr>
        <w:spacing w:after="240" w:before="240" w:lineRule="auto"/>
        <w:rPr>
          <w:b w:val="1"/>
          <w:bCs w:val="1"/>
        </w:rPr>
      </w:pPr>
      <w:r w:rsidDel="00000000" w:rsidR="00000000" w:rsidRPr="00000000">
        <w:rPr>
          <w:rtl w:val="0"/>
        </w:rPr>
      </w:r>
    </w:p>
    <w:p w:rsidR="00000000" w:rsidDel="00000000" w:rsidP="00000000" w:rsidRDefault="00000000" w:rsidRPr="00000000" w14:paraId="0000003F">
      <w:pPr>
        <w:spacing w:after="240" w:before="240" w:lineRule="auto"/>
        <w:rPr>
          <w:b w:val="1"/>
          <w:bCs w:val="1"/>
        </w:rPr>
      </w:pPr>
      <w:r w:rsidDel="00000000" w:rsidR="00000000" w:rsidRPr="00000000">
        <w:rPr>
          <w:b w:val="1"/>
          <w:bCs w:val="1"/>
          <w:rtl w:val="0"/>
        </w:rPr>
        <w:t xml:space="preserve">Signed:</w:t>
      </w:r>
    </w:p>
    <w:p w:rsidR="00000000" w:rsidDel="00000000" w:rsidP="00000000" w:rsidRDefault="00000000" w:rsidRPr="00000000" w14:paraId="00000040">
      <w:pPr>
        <w:spacing w:after="240" w:before="240" w:lineRule="auto"/>
        <w:rPr>
          <w:b w:val="1"/>
          <w:bCs w:val="1"/>
        </w:rPr>
      </w:pPr>
      <w:r w:rsidDel="00000000" w:rsidR="00000000" w:rsidRPr="00000000">
        <w:rPr>
          <w:rtl w:val="0"/>
        </w:rPr>
      </w:r>
    </w:p>
    <w:tbl>
      <w:tblPr>
        <w:tblStyle w:val="Table1"/>
        <w:tblW w:w="9360.0" w:type="dxa"/>
        <w:jc w:val="left"/>
        <w:tblLayout w:type="fixed"/>
        <w:tblLook w:val="0600"/>
      </w:tblPr>
      <w:tblGrid>
        <w:gridCol w:w="3120"/>
        <w:gridCol w:w="3120"/>
        <w:gridCol w:w="3120"/>
        <w:tblGridChange w:id="0">
          <w:tblGrid>
            <w:gridCol w:w="3120"/>
            <w:gridCol w:w="3120"/>
            <w:gridCol w:w="31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_______________________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widowControl w:val="0"/>
              <w:spacing w:line="240" w:lineRule="auto"/>
              <w:rPr>
                <w:b w:val="1"/>
                <w:bCs w:val="1"/>
              </w:rPr>
            </w:pPr>
            <w:r w:rsidDel="00000000" w:rsidR="00000000" w:rsidRPr="00000000">
              <w:rPr>
                <w:b w:val="1"/>
                <w:bCs w:val="1"/>
                <w:rtl w:val="0"/>
              </w:rPr>
              <w:t xml:space="preserve">_______________________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widowControl w:val="0"/>
              <w:spacing w:line="240" w:lineRule="auto"/>
              <w:rPr>
                <w:b w:val="1"/>
                <w:bCs w:val="1"/>
              </w:rPr>
            </w:pPr>
            <w:r w:rsidDel="00000000" w:rsidR="00000000" w:rsidRPr="00000000">
              <w:rPr>
                <w:b w:val="1"/>
                <w:bCs w:val="1"/>
                <w:rtl w:val="0"/>
              </w:rPr>
              <w:t xml:space="preserve">_______________________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4">
            <w:pPr>
              <w:spacing w:after="240" w:before="240" w:lineRule="auto"/>
              <w:rPr>
                <w:sz w:val="20"/>
                <w:szCs w:val="20"/>
              </w:rPr>
            </w:pPr>
            <w:r w:rsidDel="00000000" w:rsidR="00000000" w:rsidRPr="00000000">
              <w:rPr>
                <w:sz w:val="22"/>
                <w:szCs w:val="22"/>
                <w:rtl w:val="0"/>
              </w:rPr>
              <w:t xml:space="preserve">Chief Financial Officer (Chair)</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spacing w:after="240" w:before="240" w:lineRule="auto"/>
              <w:rPr>
                <w:b w:val="1"/>
                <w:bCs w:val="1"/>
              </w:rPr>
            </w:pPr>
            <w:r w:rsidDel="00000000" w:rsidR="00000000" w:rsidRPr="00000000">
              <w:rPr>
                <w:sz w:val="22"/>
                <w:szCs w:val="22"/>
                <w:rtl w:val="0"/>
              </w:rPr>
              <w:t xml:space="preserve">Chief Information Security Officer (Shield)</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6">
            <w:pPr>
              <w:spacing w:after="240" w:before="240" w:lineRule="auto"/>
              <w:rPr>
                <w:b w:val="1"/>
                <w:bCs w:val="1"/>
              </w:rPr>
            </w:pPr>
            <w:r w:rsidDel="00000000" w:rsidR="00000000" w:rsidRPr="00000000">
              <w:rPr>
                <w:sz w:val="22"/>
                <w:szCs w:val="22"/>
                <w:rtl w:val="0"/>
              </w:rPr>
              <w:t xml:space="preserve">General Counsel (Guardrail)</w:t>
            </w:r>
            <w:r w:rsidDel="00000000" w:rsidR="00000000" w:rsidRPr="00000000">
              <w:rPr>
                <w:rtl w:val="0"/>
              </w:rPr>
            </w:r>
          </w:p>
        </w:tc>
      </w:tr>
    </w:tbl>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t xml:space="preserve">© 2026 mrBlockchainMan. All Rights Reserved. theCLoC™, The Crypto Triplicity™, The Institutional Practice Standard™, and The Digital Asset OS™ are trademarks of mrBlockchainMan.</w:t>
      </w:r>
      <w:r w:rsidDel="00000000" w:rsidR="00000000" w:rsidRPr="00000000">
        <w:rPr>
          <w:rtl w:val="0"/>
        </w:rPr>
      </w:r>
    </w:p>
    <w:sectPr>
      <w:headerReference r:id="rId6" w:type="default"/>
      <w:foot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Serif">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Cinzel">
    <w:embedRegular w:fontKey="{00000000-0000-0000-0000-000000000000}" r:id="rId5" w:subsetted="0"/>
    <w:embedBold w:fontKey="{00000000-0000-0000-0000-000000000000}" r:id="rId6" w:subsetted="0"/>
  </w:font>
  <w:font w:name="Roboto Mono">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D">
    <w:pPr>
      <w:jc w:val="center"/>
      <w:rPr>
        <w:rFonts w:ascii="Roboto Mono" w:cs="Roboto Mono" w:eastAsia="Roboto Mono" w:hAnsi="Roboto Mono"/>
        <w:color w:val="666666"/>
        <w:sz w:val="16"/>
        <w:szCs w:val="16"/>
      </w:rPr>
    </w:pPr>
    <w:r w:rsidDel="00000000" w:rsidR="00000000" w:rsidRPr="00000000">
      <w:rPr>
        <w:rtl w:val="0"/>
      </w:rPr>
    </w:r>
  </w:p>
  <w:p w:rsidR="00000000" w:rsidDel="00000000" w:rsidP="00000000" w:rsidRDefault="00000000" w:rsidRPr="00000000" w14:paraId="0000005E">
    <w:pPr>
      <w:jc w:val="center"/>
      <w:rPr>
        <w:rFonts w:ascii="Roboto Mono" w:cs="Roboto Mono" w:eastAsia="Roboto Mono" w:hAnsi="Roboto Mono"/>
        <w:color w:val="666666"/>
        <w:sz w:val="16"/>
        <w:szCs w:val="16"/>
      </w:rPr>
    </w:pPr>
    <w:r w:rsidDel="00000000" w:rsidR="00000000" w:rsidRPr="00000000">
      <w:rPr>
        <w:rFonts w:ascii="Roboto Mono" w:cs="Roboto Mono" w:eastAsia="Roboto Mono" w:hAnsi="Roboto Mono"/>
        <w:color w:val="666666"/>
        <w:sz w:val="16"/>
        <w:szCs w:val="16"/>
        <w:rtl w:val="0"/>
      </w:rPr>
      <w:t xml:space="preserve">© 2026 mrBlockchainMan | Proprietary Mastery Path IP | </w:t>
    </w:r>
  </w:p>
  <w:p w:rsidR="00000000" w:rsidDel="00000000" w:rsidP="00000000" w:rsidRDefault="00000000" w:rsidRPr="00000000" w14:paraId="0000005F">
    <w:pPr>
      <w:jc w:val="center"/>
      <w:rPr>
        <w:rFonts w:ascii="Roboto Mono" w:cs="Roboto Mono" w:eastAsia="Roboto Mono" w:hAnsi="Roboto Mono"/>
        <w:color w:val="666666"/>
        <w:sz w:val="16"/>
        <w:szCs w:val="16"/>
      </w:rPr>
    </w:pPr>
    <w:r w:rsidDel="00000000" w:rsidR="00000000" w:rsidRPr="00000000">
      <w:rPr>
        <w:rFonts w:ascii="Roboto Mono" w:cs="Roboto Mono" w:eastAsia="Roboto Mono" w:hAnsi="Roboto Mono"/>
        <w:color w:val="666666"/>
        <w:sz w:val="16"/>
        <w:szCs w:val="16"/>
        <w:rtl w:val="0"/>
      </w:rPr>
      <w:t xml:space="preserve">Educational Facilitation Only | Consult your Auditor/Counsel.</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C">
    <w:pPr>
      <w:jc w:val="right"/>
      <w:rPr>
        <w:rFonts w:ascii="Roboto Serif" w:cs="Roboto Serif" w:eastAsia="Roboto Serif" w:hAnsi="Roboto Serif"/>
        <w:color w:val="666666"/>
        <w:sz w:val="18"/>
        <w:szCs w:val="18"/>
      </w:rPr>
    </w:pPr>
    <w:r w:rsidDel="00000000" w:rsidR="00000000" w:rsidRPr="00000000">
      <w:rPr>
        <w:rFonts w:ascii="Roboto Serif" w:cs="Roboto Serif" w:eastAsia="Roboto Serif" w:hAnsi="Roboto Serif"/>
        <w:color w:val="666666"/>
        <w:sz w:val="18"/>
        <w:szCs w:val="18"/>
        <w:rtl w:val="0"/>
      </w:rPr>
      <w:t xml:space="preserve">CONFIDENTIAL // INTERNAL GOVERNANCE ONLY</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Roboto Serif" w:cs="Roboto Serif" w:eastAsia="Roboto Serif" w:hAnsi="Roboto Serif"/>
        <w:sz w:val="24"/>
        <w:szCs w:val="24"/>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spacing w:after="60" w:lineRule="auto"/>
    </w:pPr>
    <w:rPr>
      <w:b w:val="1"/>
      <w:bCs w:val="1"/>
      <w:sz w:val="32"/>
      <w:szCs w:val="3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RobotoSerif-regular.ttf"/><Relationship Id="rId2" Type="http://schemas.openxmlformats.org/officeDocument/2006/relationships/font" Target="fonts/RobotoSerif-bold.ttf"/><Relationship Id="rId3" Type="http://schemas.openxmlformats.org/officeDocument/2006/relationships/font" Target="fonts/RobotoSerif-italic.ttf"/><Relationship Id="rId4" Type="http://schemas.openxmlformats.org/officeDocument/2006/relationships/font" Target="fonts/RobotoSerif-boldItalic.ttf"/><Relationship Id="rId10" Type="http://schemas.openxmlformats.org/officeDocument/2006/relationships/font" Target="fonts/RobotoMono-boldItalic.ttf"/><Relationship Id="rId9" Type="http://schemas.openxmlformats.org/officeDocument/2006/relationships/font" Target="fonts/RobotoMono-italic.ttf"/><Relationship Id="rId5" Type="http://schemas.openxmlformats.org/officeDocument/2006/relationships/font" Target="fonts/Cinzel-regular.ttf"/><Relationship Id="rId6" Type="http://schemas.openxmlformats.org/officeDocument/2006/relationships/font" Target="fonts/Cinzel-bold.ttf"/><Relationship Id="rId7" Type="http://schemas.openxmlformats.org/officeDocument/2006/relationships/font" Target="fonts/RobotoMono-regular.ttf"/><Relationship Id="rId8" Type="http://schemas.openxmlformats.org/officeDocument/2006/relationships/font" Target="fonts/RobotoMon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